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50451B" w:rsidRPr="00663BD4" w:rsidTr="0050451B">
        <w:tc>
          <w:tcPr>
            <w:tcW w:w="4503" w:type="dxa"/>
          </w:tcPr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августа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 w:rsidR="002C1F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2-п</w:t>
            </w:r>
          </w:p>
          <w:p w:rsidR="0050451B" w:rsidRPr="00663BD4" w:rsidRDefault="0050451B" w:rsidP="0050451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50451B" w:rsidRPr="00663BD4" w:rsidRDefault="0050451B" w:rsidP="0050451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50451B" w:rsidRPr="00663BD4" w:rsidRDefault="0050451B" w:rsidP="0050451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1B" w:rsidRPr="00663BD4" w:rsidTr="0050451B">
        <w:trPr>
          <w:trHeight w:val="1024"/>
        </w:trPr>
        <w:tc>
          <w:tcPr>
            <w:tcW w:w="5353" w:type="dxa"/>
            <w:gridSpan w:val="2"/>
          </w:tcPr>
          <w:p w:rsidR="0050451B" w:rsidRPr="00663BD4" w:rsidRDefault="0050451B" w:rsidP="0050451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вного регламента предоставления 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Приём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жилое помещение»</w:t>
            </w:r>
          </w:p>
        </w:tc>
        <w:tc>
          <w:tcPr>
            <w:tcW w:w="4501" w:type="dxa"/>
          </w:tcPr>
          <w:p w:rsidR="0050451B" w:rsidRPr="00663BD4" w:rsidRDefault="0050451B" w:rsidP="0050451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51B" w:rsidRPr="00663BD4" w:rsidRDefault="0050451B" w:rsidP="0050451B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C1FA1" w:rsidRPr="0053264D" w:rsidRDefault="002C1FA1" w:rsidP="002C1FA1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64D">
        <w:rPr>
          <w:rFonts w:ascii="Times New Roman" w:hAnsi="Times New Roman" w:cs="Times New Roman"/>
          <w:color w:val="000000"/>
          <w:sz w:val="28"/>
          <w:szCs w:val="28"/>
        </w:rPr>
        <w:t>Во исполнение решения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связи с переводом муниципальных услуг от 22 мая 2018 года №12-пр</w:t>
      </w:r>
      <w:r w:rsidRPr="0053264D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proofErr w:type="spellStart"/>
      <w:r w:rsidRPr="0053264D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53264D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5326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326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2C1FA1" w:rsidRDefault="002C1FA1" w:rsidP="002C1FA1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96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Приём</w:t>
      </w:r>
      <w:r w:rsidRPr="00696236">
        <w:rPr>
          <w:rFonts w:ascii="Times New Roman" w:hAnsi="Times New Roman" w:cs="Times New Roman"/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696236">
        <w:rPr>
          <w:rFonts w:ascii="Times New Roman" w:hAnsi="Times New Roman" w:cs="Times New Roman"/>
          <w:sz w:val="28"/>
          <w:szCs w:val="28"/>
        </w:rPr>
        <w:br/>
        <w:t>в жилое помещение»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C1FA1" w:rsidRDefault="002C1FA1" w:rsidP="002C1FA1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2C1FA1" w:rsidRDefault="002C1FA1" w:rsidP="002C1FA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C1FA1" w:rsidRDefault="002C1FA1" w:rsidP="002C1FA1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C1FA1" w:rsidRDefault="002C1FA1" w:rsidP="002C1FA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2C1FA1" w:rsidRDefault="002C1FA1" w:rsidP="002C1FA1">
      <w:pPr>
        <w:pStyle w:val="a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1FA1" w:rsidRDefault="002C1FA1" w:rsidP="002C1FA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C1FA1" w:rsidRDefault="002C1FA1" w:rsidP="002C1FA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2C1FA1" w:rsidRDefault="002C1FA1" w:rsidP="002C1FA1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2C1FA1" w:rsidRDefault="002C1FA1" w:rsidP="002C1FA1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C1FA1" w:rsidRDefault="002C1FA1" w:rsidP="002C1FA1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2C1FA1" w:rsidRDefault="002C1FA1" w:rsidP="002C1FA1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2C1FA1" w:rsidRDefault="002C1FA1" w:rsidP="002C1FA1">
      <w:pPr>
        <w:pStyle w:val="af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7C6D27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>Прием документов и выдача уведомлений о переводе или об отказе в переводе жилого помещения в нежилое по</w:t>
      </w:r>
      <w:r w:rsidR="002C1FA1">
        <w:rPr>
          <w:rFonts w:ascii="Times New Roman" w:hAnsi="Times New Roman" w:cs="Times New Roman"/>
          <w:sz w:val="24"/>
          <w:szCs w:val="24"/>
        </w:rPr>
        <w:t xml:space="preserve">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помещение или нежилого пом</w:t>
      </w:r>
      <w:r w:rsidR="002C1FA1">
        <w:rPr>
          <w:rFonts w:ascii="Times New Roman" w:hAnsi="Times New Roman" w:cs="Times New Roman"/>
          <w:b w:val="0"/>
          <w:sz w:val="24"/>
          <w:szCs w:val="24"/>
        </w:rPr>
        <w:t xml:space="preserve">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 xml:space="preserve">461430 Оренбургская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Коммунар, улица Луначарского, дом 55</w:t>
      </w:r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kk</w:t>
      </w:r>
      <w:proofErr w:type="spellEnd"/>
      <w:r w:rsidRPr="006E6C7E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 w:rsidRPr="006E6C7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6C7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Pr="006E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E6C7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 w:rsidRPr="006E6C7E">
        <w:rPr>
          <w:rFonts w:ascii="Times New Roman" w:hAnsi="Times New Roman" w:cs="Times New Roman"/>
          <w:sz w:val="24"/>
          <w:szCs w:val="24"/>
        </w:rPr>
        <w:t>2012.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.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>
        <w:rPr>
          <w:rFonts w:ascii="Times New Roman" w:hAnsi="Times New Roman" w:cs="Times New Roman"/>
          <w:sz w:val="24"/>
          <w:szCs w:val="24"/>
        </w:rPr>
        <w:t>пятница:  с 08-30  до 17-00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перерыв: </w:t>
      </w:r>
      <w:r>
        <w:rPr>
          <w:rFonts w:ascii="Times New Roman" w:hAnsi="Times New Roman" w:cs="Times New Roman"/>
          <w:sz w:val="24"/>
          <w:szCs w:val="24"/>
        </w:rPr>
        <w:t>с 12-30 до 14-00</w:t>
      </w:r>
    </w:p>
    <w:p w:rsidR="002C1FA1" w:rsidRPr="007C6D27" w:rsidRDefault="002C1FA1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2C1F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C1FA1" w:rsidRPr="006E6C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1FA1"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 w:rsidR="002C1FA1" w:rsidRPr="006E6C7E">
        <w:rPr>
          <w:rFonts w:ascii="Times New Roman" w:hAnsi="Times New Roman" w:cs="Times New Roman"/>
          <w:sz w:val="24"/>
          <w:szCs w:val="24"/>
        </w:rPr>
        <w:t>2012.</w:t>
      </w:r>
      <w:proofErr w:type="spellStart"/>
      <w:r w:rsidR="002C1F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1FA1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>оуправления</w:t>
      </w:r>
      <w:r w:rsidR="002C1FA1" w:rsidRPr="002C1FA1">
        <w:rPr>
          <w:rFonts w:ascii="Times New Roman" w:hAnsi="Times New Roman" w:cs="Times New Roman"/>
          <w:sz w:val="24"/>
          <w:szCs w:val="24"/>
        </w:rPr>
        <w:t xml:space="preserve"> </w:t>
      </w:r>
      <w:r w:rsidR="002C1FA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AB7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FA1" w:rsidRPr="007C6D27" w:rsidRDefault="005A4539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 </w:t>
      </w:r>
      <w:r w:rsidR="002C1FA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2C1002">
        <w:rPr>
          <w:lang w:eastAsia="en-US"/>
        </w:rPr>
        <w:t>www.gosuslugi.ru</w:t>
      </w:r>
      <w:proofErr w:type="spellEnd"/>
      <w:r w:rsidR="000A4DD2" w:rsidRPr="002C1002">
        <w:rPr>
          <w:lang w:eastAsia="en-US"/>
        </w:rPr>
        <w:t xml:space="preserve">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FA1" w:rsidRDefault="005A4539" w:rsidP="002C1F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FA1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органом местно</w:t>
      </w:r>
      <w:r w:rsidR="009171FC" w:rsidRPr="002C1FA1">
        <w:rPr>
          <w:rFonts w:ascii="Times New Roman" w:hAnsi="Times New Roman" w:cs="Times New Roman"/>
          <w:sz w:val="24"/>
          <w:szCs w:val="24"/>
        </w:rPr>
        <w:t>го самоуправления</w:t>
      </w:r>
      <w:r w:rsidR="009171FC" w:rsidRPr="00324444">
        <w:t xml:space="preserve"> </w:t>
      </w:r>
      <w:r w:rsidR="002C1FA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2C1FA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2C1FA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2C1FA1">
        <w:rPr>
          <w:rFonts w:ascii="Times New Roman" w:hAnsi="Times New Roman" w:cs="Times New Roman"/>
          <w:sz w:val="24"/>
          <w:szCs w:val="24"/>
        </w:rPr>
        <w:t>(далее – орган местного самоуправления).</w:t>
      </w:r>
    </w:p>
    <w:p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lastRenderedPageBreak/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2C1FA1" w:rsidRDefault="005141C6" w:rsidP="002C1F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Pr="00324444">
        <w:rPr>
          <w:rFonts w:eastAsiaTheme="minorHAnsi"/>
          <w:lang w:eastAsia="en-US"/>
        </w:rPr>
        <w:t>).</w:t>
      </w:r>
    </w:p>
    <w:p w:rsidR="005A4539" w:rsidRPr="00793533" w:rsidRDefault="005A453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33">
        <w:rPr>
          <w:rFonts w:ascii="Times New Roman" w:hAnsi="Times New Roman" w:cs="Times New Roman"/>
          <w:sz w:val="24"/>
          <w:szCs w:val="24"/>
        </w:rPr>
        <w:t>14. При</w:t>
      </w:r>
      <w:r w:rsidR="000E4C4D" w:rsidRPr="00793533">
        <w:rPr>
          <w:rFonts w:ascii="Times New Roman" w:hAnsi="Times New Roman" w:cs="Times New Roman"/>
          <w:sz w:val="24"/>
          <w:szCs w:val="24"/>
        </w:rPr>
        <w:t>ё</w:t>
      </w:r>
      <w:r w:rsidRPr="00793533">
        <w:rPr>
          <w:rFonts w:ascii="Times New Roman" w:hAnsi="Times New Roman" w:cs="Times New Roman"/>
          <w:sz w:val="24"/>
          <w:szCs w:val="24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</w:t>
      </w:r>
      <w:r w:rsidR="00793533">
        <w:t xml:space="preserve"> </w:t>
      </w:r>
      <w:r w:rsidR="0079353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proofErr w:type="gramStart"/>
      <w:r w:rsidR="007935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93533">
        <w:rPr>
          <w:rFonts w:ascii="Times New Roman" w:hAnsi="Times New Roman" w:cs="Times New Roman"/>
          <w:sz w:val="24"/>
          <w:szCs w:val="24"/>
        </w:rPr>
        <w:t xml:space="preserve"> </w:t>
      </w:r>
      <w:r w:rsidRPr="007C6D27">
        <w:t xml:space="preserve"> </w:t>
      </w:r>
      <w:r w:rsidRPr="00793533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7C6D27" w:rsidRDefault="00E76A05" w:rsidP="0079353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4539" w:rsidRPr="007C6D27" w:rsidRDefault="005A4539" w:rsidP="007935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18. Предоставление муниципальной услуги регулируется следующими нормативными правовыми актами:</w:t>
      </w:r>
    </w:p>
    <w:p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9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:rsidR="00793533" w:rsidRDefault="00793533" w:rsidP="0079353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7935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 xml:space="preserve">и </w:t>
      </w:r>
      <w:r w:rsidR="004959E0" w:rsidRPr="00EA2593">
        <w:rPr>
          <w:rFonts w:ascii="Times New Roman" w:hAnsi="Times New Roman" w:cs="Times New Roman"/>
          <w:sz w:val="24"/>
          <w:szCs w:val="24"/>
        </w:rPr>
        <w:lastRenderedPageBreak/>
        <w:t>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 xml:space="preserve"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</w:t>
      </w:r>
      <w:r w:rsidRPr="00EA41D4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proofErr w:type="spellStart"/>
      <w:r w:rsidRPr="002C1002">
        <w:rPr>
          <w:lang w:val="en-US"/>
        </w:rPr>
        <w:t>pdf</w:t>
      </w:r>
      <w:proofErr w:type="spellEnd"/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</w:t>
      </w:r>
      <w:r w:rsidRPr="002C1002">
        <w:lastRenderedPageBreak/>
        <w:t xml:space="preserve">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:rsidR="00AA69D2" w:rsidRPr="002C1002" w:rsidRDefault="00AA69D2" w:rsidP="00AA69D2">
      <w:pPr>
        <w:widowControl w:val="0"/>
        <w:autoSpaceDE w:val="0"/>
        <w:autoSpaceDN w:val="0"/>
      </w:pPr>
      <w:bookmarkStart w:id="2" w:name="sub_1003"/>
      <w:r w:rsidRPr="002C1002">
        <w:t xml:space="preserve"> </w:t>
      </w:r>
      <w:bookmarkStart w:id="3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1"/>
      <w:bookmarkEnd w:id="3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2"/>
      <w:bookmarkEnd w:id="4"/>
      <w:r w:rsidRPr="002C1002">
        <w:t xml:space="preserve">                  б) в черно-белом режиме при отсутствии в документе графических изображений;</w:t>
      </w:r>
    </w:p>
    <w:p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6" w:name="sub_1073"/>
      <w:bookmarkEnd w:id="5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8" w:name="sub_1010"/>
      <w:bookmarkEnd w:id="7"/>
      <w:proofErr w:type="gramEnd"/>
    </w:p>
    <w:p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2C1002">
        <w:t>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>, если</w:t>
      </w:r>
      <w:proofErr w:type="gramEnd"/>
      <w:r w:rsidR="00FA2F9F" w:rsidRPr="0013494A">
        <w:rPr>
          <w:rFonts w:eastAsiaTheme="minorHAnsi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</w:t>
      </w:r>
      <w:r w:rsidR="004306D0" w:rsidRPr="0013494A">
        <w:rPr>
          <w:rFonts w:eastAsiaTheme="minorHAnsi"/>
          <w:lang w:eastAsia="en-US"/>
        </w:rPr>
        <w:lastRenderedPageBreak/>
        <w:t>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</w:t>
      </w:r>
      <w:proofErr w:type="gramEnd"/>
      <w:r w:rsidR="00FA2F9F" w:rsidRPr="0013494A">
        <w:rPr>
          <w:rFonts w:eastAsiaTheme="minorHAnsi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2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Pr="007C6D27" w:rsidRDefault="00C95C00" w:rsidP="00793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793533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  <w:r w:rsidR="00793533">
        <w:rPr>
          <w:rFonts w:ascii="Times New Roman" w:hAnsi="Times New Roman" w:cs="Times New Roman"/>
          <w:sz w:val="24"/>
          <w:szCs w:val="24"/>
        </w:rPr>
        <w:t xml:space="preserve"> Не имеется</w:t>
      </w:r>
      <w:r w:rsidR="005A4539"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:rsidR="00975A7A" w:rsidRDefault="00975A7A" w:rsidP="00793533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793533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93533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793533" w:rsidRDefault="005A453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запись на при</w:t>
      </w:r>
      <w:r w:rsidR="0045778E"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ё</w:t>
      </w:r>
      <w:r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 в орган местного с</w:t>
      </w:r>
      <w:r w:rsidR="00E95C23"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амоуправления </w:t>
      </w:r>
      <w:r w:rsidR="00793533" w:rsidRPr="00793533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8712EE"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793533"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793533" w:rsidRDefault="005A453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</w:t>
      </w:r>
      <w:r w:rsidR="0045778E"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ё</w:t>
      </w:r>
      <w:r w:rsidRPr="007935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 и регистрация органом местного самоуправления</w:t>
      </w:r>
      <w:r w:rsidR="00793533">
        <w:rPr>
          <w:rFonts w:eastAsiaTheme="minorHAnsi"/>
          <w:bCs/>
          <w:lang w:eastAsia="en-US"/>
        </w:rPr>
        <w:t xml:space="preserve"> </w:t>
      </w:r>
      <w:r w:rsidR="0079353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93533">
        <w:rPr>
          <w:rFonts w:ascii="Times New Roman" w:eastAsiaTheme="minorHAnsi" w:hAnsi="Times New Roman" w:cs="Times New Roman"/>
          <w:bCs/>
          <w:lang w:eastAsia="en-US"/>
        </w:rPr>
        <w:t>запроса и иных документов, необходимых для предоставления услуги;</w:t>
      </w:r>
      <w:r w:rsidRPr="00793533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F95D7C">
        <w:rPr>
          <w:rFonts w:eastAsiaTheme="minorHAnsi"/>
          <w:lang w:eastAsia="en-US"/>
        </w:rPr>
        <w:t>помещение</w:t>
      </w:r>
      <w:proofErr w:type="gramEnd"/>
      <w:r w:rsidR="00F95D7C" w:rsidRPr="00F95D7C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уполномоченное должностное лицо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BE3304" w:rsidRPr="00EF2ACB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:rsidR="00BE3304" w:rsidRPr="00224BA8" w:rsidRDefault="00BE3304" w:rsidP="00793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:rsidR="00502F4C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3C5303">
        <w:rPr>
          <w:rFonts w:ascii="Times New Roman" w:hAnsi="Times New Roman" w:cs="Times New Roman"/>
          <w:sz w:val="24"/>
          <w:szCs w:val="24"/>
        </w:rPr>
        <w:t>самоуправления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D96" w:rsidRPr="00793533" w:rsidRDefault="00CA16DC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lastRenderedPageBreak/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7C6D27"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F2ACB"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</w:t>
      </w:r>
      <w:proofErr w:type="gramEnd"/>
      <w:r w:rsidR="0001310C" w:rsidRPr="00EF2ACB">
        <w:t xml:space="preserve">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CC208F" w:rsidRPr="007C6D27" w:rsidRDefault="005A453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 w:rsidRPr="007C6D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539F9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widowControl w:val="0"/>
        <w:autoSpaceDE w:val="0"/>
        <w:autoSpaceDN w:val="0"/>
        <w:adjustRightInd w:val="0"/>
        <w:jc w:val="both"/>
      </w:pPr>
      <w:bookmarkStart w:id="11" w:name="sub_4066"/>
      <w:r w:rsidRPr="003539F9">
        <w:tab/>
        <w:t>76. Заявитель может обратиться с жалобой, в том числе в следующих случаях:</w:t>
      </w:r>
    </w:p>
    <w:p w:rsidR="003539F9" w:rsidRPr="003539F9" w:rsidRDefault="003539F9" w:rsidP="003539F9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 w:rsidRPr="003539F9">
        <w:t xml:space="preserve">1) </w:t>
      </w:r>
      <w:bookmarkStart w:id="13" w:name="sub_4667"/>
      <w:bookmarkEnd w:id="12"/>
      <w:r w:rsidRPr="003539F9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3539F9">
          <w:t>статье 15.1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3539F9">
          <w:t>частью 1.3 статьи 16</w:t>
        </w:r>
      </w:hyperlink>
      <w:r w:rsidRPr="003539F9">
        <w:t xml:space="preserve"> №210-ФЗ;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3539F9">
          <w:t>частью 1.1 статьи 16</w:t>
        </w:r>
      </w:hyperlink>
      <w:r w:rsidRPr="003539F9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39F9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3539F9">
          <w:t>частью 1.3 статьи 16</w:t>
        </w:r>
      </w:hyperlink>
      <w:r w:rsidRPr="003539F9">
        <w:t xml:space="preserve"> №210-ФЗ.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>8) нарушение срока или порядка выдачи документов по результатам предоставления муниципальной услуги;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proofErr w:type="gramStart"/>
      <w:r w:rsidRPr="003539F9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3539F9">
          <w:t>частью 1.3 статьи 16</w:t>
        </w:r>
      </w:hyperlink>
      <w:r w:rsidRPr="003539F9">
        <w:t xml:space="preserve"> № 210-ФЗ.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Предмет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793533" w:rsidRDefault="003539F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33">
        <w:rPr>
          <w:rFonts w:ascii="Times New Roman" w:hAnsi="Times New Roman" w:cs="Times New Roman"/>
          <w:sz w:val="24"/>
          <w:szCs w:val="24"/>
          <w:lang w:eastAsia="en-US"/>
        </w:rPr>
        <w:t>77. </w:t>
      </w:r>
      <w:proofErr w:type="gramStart"/>
      <w:r w:rsidRPr="00793533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793533" w:rsidRPr="0079353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="00793533" w:rsidRPr="00793533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93533">
        <w:rPr>
          <w:rFonts w:ascii="Times New Roman" w:hAnsi="Times New Roman" w:cs="Times New Roman"/>
          <w:sz w:val="24"/>
          <w:szCs w:val="24"/>
          <w:lang w:eastAsia="en-US"/>
        </w:rPr>
        <w:t xml:space="preserve"> его должностных лиц, муниципальных служащих органа местного самоуправления </w:t>
      </w:r>
      <w:r w:rsidR="00793533" w:rsidRPr="0079353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793533">
        <w:rPr>
          <w:rFonts w:ascii="Times New Roman" w:hAnsi="Times New Roman" w:cs="Times New Roman"/>
          <w:sz w:val="24"/>
          <w:szCs w:val="24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</w:t>
      </w:r>
      <w:proofErr w:type="gramEnd"/>
      <w:r w:rsidRPr="00793533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области, при предоставлении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78. Жалоба должна содержать: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 w:rsidRPr="003539F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proofErr w:type="gramStart"/>
      <w:r w:rsidRPr="003539F9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 w:rsidRPr="003539F9">
        <w:t>3) сведения об обжалуемых решениях и действиях (бездействии)</w:t>
      </w:r>
      <w:bookmarkStart w:id="17" w:name="sub_4684"/>
      <w:bookmarkEnd w:id="16"/>
      <w:r w:rsidRPr="003539F9">
        <w:t>;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3539F9" w:rsidRDefault="003539F9" w:rsidP="003539F9">
      <w:pPr>
        <w:widowControl w:val="0"/>
        <w:autoSpaceDE w:val="0"/>
        <w:autoSpaceDN w:val="0"/>
        <w:adjustRightInd w:val="0"/>
        <w:ind w:firstLine="720"/>
        <w:jc w:val="both"/>
      </w:pPr>
      <w:r w:rsidRPr="003539F9"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3539F9">
        <w:rPr>
          <w:b/>
          <w:lang w:eastAsia="en-US"/>
        </w:rPr>
        <w:t>Органы  местного самоуправления</w:t>
      </w:r>
      <w:r w:rsidRPr="003539F9">
        <w:rPr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3539F9">
        <w:rPr>
          <w:b/>
          <w:lang w:eastAsia="en-US"/>
        </w:rPr>
        <w:t>которым может быть направлена жалоба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793533" w:rsidRDefault="003539F9" w:rsidP="0079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533">
        <w:rPr>
          <w:rFonts w:ascii="Times New Roman" w:hAnsi="Times New Roman" w:cs="Times New Roman"/>
          <w:sz w:val="24"/>
          <w:szCs w:val="24"/>
          <w:lang w:eastAsia="en-US"/>
        </w:rPr>
        <w:t xml:space="preserve">79. Жалоба рассматривается органом местного самоуправления </w:t>
      </w:r>
      <w:r w:rsidR="00793533" w:rsidRPr="0079353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 w:rsidR="00793533" w:rsidRPr="0079353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793533" w:rsidRPr="0079353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793533">
        <w:rPr>
          <w:rFonts w:ascii="Times New Roman" w:hAnsi="Times New Roman" w:cs="Times New Roman"/>
          <w:sz w:val="24"/>
          <w:szCs w:val="24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Pr="0079353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предоставляющего муниципальную услугу. </w:t>
      </w:r>
      <w:r w:rsidRPr="00793533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793533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93533">
        <w:rPr>
          <w:rFonts w:ascii="Times New Roman" w:hAnsi="Times New Roman" w:cs="Times New Roman"/>
          <w:sz w:val="24"/>
          <w:szCs w:val="24"/>
        </w:rPr>
        <w:t xml:space="preserve"> № 210-ФЗ, подаются руководителям этих организаций.</w:t>
      </w:r>
    </w:p>
    <w:p w:rsidR="003539F9" w:rsidRPr="00793533" w:rsidRDefault="003539F9" w:rsidP="003539F9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 w:rsidRPr="003539F9">
        <w:rPr>
          <w:b/>
          <w:lang w:eastAsia="en-US"/>
        </w:rPr>
        <w:t>Порядок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rPr>
          <w:lang w:eastAsia="en-US"/>
        </w:rPr>
        <w:t xml:space="preserve">80. </w:t>
      </w:r>
      <w:proofErr w:type="gramStart"/>
      <w:r w:rsidRPr="003539F9">
        <w:rPr>
          <w:lang w:eastAsia="en-US"/>
        </w:rPr>
        <w:t>Жалоба подается в письменной форме на бумажном носителе</w:t>
      </w:r>
      <w:r w:rsidRPr="003539F9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3539F9">
        <w:t xml:space="preserve">предусмотренных </w:t>
      </w:r>
      <w:hyperlink r:id="rId21" w:history="1">
        <w:r w:rsidRPr="003539F9">
          <w:t>частью 1.1 статьи 16</w:t>
        </w:r>
      </w:hyperlink>
      <w:r w:rsidRPr="003539F9">
        <w:t xml:space="preserve"> № 210-ФЗ,</w:t>
      </w:r>
      <w:r w:rsidRPr="003539F9">
        <w:rPr>
          <w:b/>
          <w:bCs/>
          <w:lang w:eastAsia="en-US"/>
        </w:rPr>
        <w:t xml:space="preserve"> </w:t>
      </w:r>
      <w:r w:rsidRPr="003539F9">
        <w:rPr>
          <w:bCs/>
          <w:lang w:eastAsia="en-US"/>
        </w:rPr>
        <w:t xml:space="preserve"> а также может быть принята при</w:t>
      </w:r>
      <w:proofErr w:type="gramEnd"/>
      <w:r w:rsidRPr="003539F9">
        <w:rPr>
          <w:bCs/>
          <w:lang w:eastAsia="en-US"/>
        </w:rPr>
        <w:t xml:space="preserve"> личном </w:t>
      </w:r>
      <w:proofErr w:type="gramStart"/>
      <w:r w:rsidRPr="003539F9">
        <w:rPr>
          <w:bCs/>
          <w:lang w:eastAsia="en-US"/>
        </w:rPr>
        <w:t>приеме</w:t>
      </w:r>
      <w:proofErr w:type="gramEnd"/>
      <w:r w:rsidRPr="003539F9">
        <w:rPr>
          <w:bCs/>
          <w:lang w:eastAsia="en-US"/>
        </w:rPr>
        <w:t xml:space="preserve"> заявителя в органе местного самоуправления</w:t>
      </w:r>
      <w:r w:rsidRPr="003539F9">
        <w:t xml:space="preserve">. 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81. </w:t>
      </w:r>
      <w:r w:rsidRPr="003539F9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39F9">
        <w:rPr>
          <w:rFonts w:eastAsiaTheme="minorHAnsi"/>
          <w:lang w:eastAsia="en-US"/>
        </w:rPr>
        <w:t>представлена</w:t>
      </w:r>
      <w:proofErr w:type="gramEnd"/>
      <w:r w:rsidRPr="003539F9">
        <w:rPr>
          <w:rFonts w:eastAsiaTheme="minorHAnsi"/>
          <w:lang w:eastAsia="en-US"/>
        </w:rPr>
        <w:t>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Жалоба в письменной форме может также быть направлена по почте.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</w:pPr>
      <w:r w:rsidRPr="003539F9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3539F9">
          <w:t>статьей</w:t>
        </w:r>
      </w:hyperlink>
      <w:r w:rsidRPr="003539F9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</w:t>
      </w:r>
      <w:r w:rsidRPr="003539F9"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lang w:eastAsia="en-US"/>
        </w:rPr>
        <w:t xml:space="preserve">85. </w:t>
      </w:r>
      <w:r w:rsidRPr="003539F9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 xml:space="preserve"> </w:t>
      </w:r>
      <w:hyperlink r:id="rId23" w:history="1">
        <w:r w:rsidRPr="003539F9">
          <w:rPr>
            <w:rFonts w:eastAsiaTheme="minorHAnsi"/>
            <w:lang w:eastAsia="en-US"/>
          </w:rPr>
          <w:t>статьей 5.63</w:t>
        </w:r>
      </w:hyperlink>
      <w:r w:rsidRPr="003539F9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Сроки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86. </w:t>
      </w:r>
      <w:proofErr w:type="gramStart"/>
      <w:r w:rsidRPr="003539F9">
        <w:rPr>
          <w:bCs/>
          <w:lang w:eastAsia="en-US"/>
        </w:rPr>
        <w:t xml:space="preserve">Жалоба, поступившая в орган, предоставляющий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МФЦ, учредителю МФЦ, в организации, </w:t>
      </w:r>
      <w:r w:rsidRPr="003539F9">
        <w:t xml:space="preserve">предусмотренные </w:t>
      </w:r>
      <w:hyperlink r:id="rId24" w:history="1">
        <w:r w:rsidRPr="003539F9">
          <w:t>частью 1.1 статьи 16</w:t>
        </w:r>
      </w:hyperlink>
      <w:r w:rsidRPr="003539F9">
        <w:t xml:space="preserve"> № 210-ФЗ, </w:t>
      </w:r>
      <w:r w:rsidRPr="003539F9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должностного лица органа, предоставляющего </w:t>
      </w:r>
      <w:r w:rsidRPr="003539F9">
        <w:rPr>
          <w:lang w:eastAsia="en-US"/>
        </w:rPr>
        <w:t>муниципальную</w:t>
      </w:r>
      <w:r w:rsidRPr="003539F9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3539F9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Результат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3539F9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3539F9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3539F9">
        <w:rPr>
          <w:rFonts w:eastAsiaTheme="minorHAnsi"/>
          <w:lang w:eastAsia="en-US"/>
        </w:rPr>
        <w:t>2) в удовлетворении жалобы отказывается.</w:t>
      </w:r>
    </w:p>
    <w:p w:rsidR="003539F9" w:rsidRPr="003539F9" w:rsidRDefault="003539F9" w:rsidP="003539F9">
      <w:pPr>
        <w:autoSpaceDE w:val="0"/>
        <w:autoSpaceDN w:val="0"/>
        <w:adjustRightInd w:val="0"/>
        <w:rPr>
          <w:b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3539F9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3539F9">
          <w:rPr>
            <w:bCs/>
            <w:lang w:eastAsia="en-US"/>
          </w:rPr>
          <w:t>пункте</w:t>
        </w:r>
      </w:hyperlink>
      <w:r w:rsidRPr="003539F9">
        <w:rPr>
          <w:bCs/>
          <w:lang w:eastAsia="en-US"/>
        </w:rPr>
        <w:t xml:space="preserve"> </w:t>
      </w:r>
      <w:r w:rsidR="00EA2539" w:rsidRPr="00EA2539">
        <w:rPr>
          <w:bCs/>
          <w:lang w:eastAsia="en-US"/>
        </w:rPr>
        <w:t>8</w:t>
      </w:r>
      <w:r w:rsidRPr="00EA2539">
        <w:rPr>
          <w:bCs/>
          <w:lang w:eastAsia="en-US"/>
        </w:rPr>
        <w:t>7 Административного регламента</w:t>
      </w:r>
      <w:r w:rsidRPr="003539F9">
        <w:rPr>
          <w:bCs/>
          <w:lang w:eastAsia="en-US"/>
        </w:rPr>
        <w:t>.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/>
        </w:rPr>
      </w:pPr>
      <w:r w:rsidRPr="003539F9">
        <w:rPr>
          <w:bCs/>
          <w:lang w:eastAsia="en-US"/>
        </w:rPr>
        <w:t xml:space="preserve">89. </w:t>
      </w:r>
      <w:r w:rsidRPr="003539F9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39F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3539F9" w:rsidRPr="003539F9" w:rsidRDefault="003539F9" w:rsidP="00353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539F9">
        <w:t xml:space="preserve">90. </w:t>
      </w:r>
      <w:r w:rsidRPr="003539F9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>
        <w:rPr>
          <w:lang w:eastAsia="en-US"/>
        </w:rPr>
        <w:t>7</w:t>
      </w:r>
      <w:r w:rsidRPr="003539F9">
        <w:rPr>
          <w:lang w:eastAsia="en-US"/>
        </w:rPr>
        <w:t>9 настоящего Административного регламента.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Право заявителя на получение информации и документов,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3539F9">
        <w:rPr>
          <w:b/>
          <w:bCs/>
          <w:lang w:eastAsia="en-US"/>
        </w:rPr>
        <w:t>необходимых</w:t>
      </w:r>
      <w:proofErr w:type="gramEnd"/>
      <w:r w:rsidRPr="003539F9">
        <w:rPr>
          <w:b/>
          <w:bCs/>
          <w:lang w:eastAsia="en-US"/>
        </w:rPr>
        <w:t xml:space="preserve"> для обоснования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3539F9">
        <w:rPr>
          <w:b/>
          <w:bCs/>
          <w:lang w:eastAsia="en-US"/>
        </w:rPr>
        <w:lastRenderedPageBreak/>
        <w:t>Способы информирования заявителя</w:t>
      </w:r>
    </w:p>
    <w:p w:rsidR="003539F9" w:rsidRPr="003539F9" w:rsidRDefault="003539F9" w:rsidP="003539F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539F9">
        <w:rPr>
          <w:b/>
          <w:bCs/>
          <w:lang w:eastAsia="en-US"/>
        </w:rPr>
        <w:t>о порядке подачи и рассмотрения жалобы</w:t>
      </w:r>
    </w:p>
    <w:p w:rsidR="003539F9" w:rsidRPr="003539F9" w:rsidRDefault="003539F9" w:rsidP="003539F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3539F9" w:rsidRDefault="003539F9" w:rsidP="003539F9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3539F9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2044" w:rsidRDefault="00972044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3539F9" w:rsidRDefault="003539F9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5A4539">
      <w:pPr>
        <w:ind w:left="7371"/>
      </w:pPr>
    </w:p>
    <w:p w:rsidR="00972044" w:rsidRDefault="00972044" w:rsidP="00793533"/>
    <w:p w:rsidR="005A4539" w:rsidRPr="000A514F" w:rsidRDefault="005A4539" w:rsidP="005A4539">
      <w:pPr>
        <w:ind w:left="7371"/>
      </w:pPr>
      <w:r w:rsidRPr="000A514F">
        <w:lastRenderedPageBreak/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7C6D27" w:rsidRDefault="005A4539" w:rsidP="005A4539"/>
    <w:p w:rsidR="005F7E7E" w:rsidRPr="00D67B67" w:rsidRDefault="005F7E7E" w:rsidP="005F7E7E">
      <w:pPr>
        <w:jc w:val="center"/>
      </w:pPr>
      <w:r w:rsidRPr="00D67B67">
        <w:t>ЗАЯВЛЕНИЕ</w:t>
      </w:r>
    </w:p>
    <w:p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:rsidR="005F7E7E" w:rsidRPr="00D67B67" w:rsidRDefault="005F7E7E" w:rsidP="005F7E7E">
      <w:pPr>
        <w:jc w:val="center"/>
      </w:pPr>
    </w:p>
    <w:p w:rsidR="005F7E7E" w:rsidRPr="00D67B67" w:rsidRDefault="005F7E7E" w:rsidP="005F7E7E">
      <w:r w:rsidRPr="00D67B67">
        <w:t>от ___________________________________________________________________________</w:t>
      </w:r>
      <w:r w:rsidR="00D67B67">
        <w:t>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793533">
      <w:r w:rsidRPr="00D67B67">
        <w:t>___________________________________________________________________________</w:t>
      </w:r>
      <w:r w:rsidR="00D67B67">
        <w:t>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 xml:space="preserve">Для  физических  лиц  указываются: фамилия, имя, отчество, реквизиты  документа,  удостоверяющего   личность  (серия, номер,  кем  и  когда  выдан),  место  </w:t>
      </w:r>
      <w:r w:rsidRPr="00D67B67">
        <w:lastRenderedPageBreak/>
        <w:t>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:rsidR="005F7E7E" w:rsidRPr="00D67B67" w:rsidRDefault="005F7E7E" w:rsidP="005F7E7E">
      <w:r w:rsidRPr="00D67B67">
        <w:t>___________________________________________________________________________</w:t>
      </w:r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:rsidR="005F7E7E" w:rsidRPr="00D67B67" w:rsidRDefault="005F7E7E" w:rsidP="005F7E7E">
      <w:r w:rsidRPr="00D67B67">
        <w:t>по «___» ____________ 200__ г.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:rsidR="005F7E7E" w:rsidRPr="00D67B67" w:rsidRDefault="005F7E7E" w:rsidP="005F7E7E"/>
    <w:p w:rsidR="005F7E7E" w:rsidRPr="00D67B67" w:rsidRDefault="005F7E7E" w:rsidP="005F7E7E">
      <w:r w:rsidRPr="00D67B67">
        <w:t xml:space="preserve">    Обязуюсь:</w:t>
      </w:r>
    </w:p>
    <w:p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:rsidR="005F7E7E" w:rsidRPr="00D67B67" w:rsidRDefault="005F7E7E" w:rsidP="001C25DE">
      <w:pPr>
        <w:jc w:val="both"/>
      </w:pPr>
      <w:r w:rsidRPr="00D67B67"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D67B67">
        <w:t>жилищн</w:t>
      </w:r>
      <w:proofErr w:type="gramStart"/>
      <w:r w:rsidRPr="00D67B67">
        <w:t>о</w:t>
      </w:r>
      <w:proofErr w:type="spellEnd"/>
      <w:r w:rsidRPr="00D67B67">
        <w:t>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0865D1" w:rsidTr="001C25DE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spellStart"/>
            <w:proofErr w:type="gramStart"/>
            <w:r w:rsidRPr="002E341D">
              <w:t>п</w:t>
            </w:r>
            <w:proofErr w:type="spellEnd"/>
            <w:proofErr w:type="gramEnd"/>
            <w:r w:rsidRPr="002E341D">
              <w:t>/</w:t>
            </w:r>
            <w:proofErr w:type="spellStart"/>
            <w:r w:rsidRPr="002E341D">
              <w:t>п</w:t>
            </w:r>
            <w:proofErr w:type="spellEnd"/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 w:rsidRPr="002E341D">
              <w:t>5</w:t>
            </w:r>
          </w:p>
        </w:tc>
      </w:tr>
      <w:tr w:rsidR="001C25DE" w:rsidRPr="00D67B67" w:rsidTr="001C25DE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1C25DE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3533">
        <w:t>_____________________________</w:t>
      </w:r>
    </w:p>
    <w:p w:rsidR="001C25DE" w:rsidRPr="00D67B67" w:rsidRDefault="001C25DE" w:rsidP="001C25DE"/>
    <w:p w:rsidR="00EF2ACB" w:rsidRPr="00EF2ACB" w:rsidRDefault="00EF2ACB" w:rsidP="00EF2ACB">
      <w:pPr>
        <w:ind w:firstLine="708"/>
        <w:jc w:val="both"/>
      </w:pPr>
      <w:r w:rsidRPr="00EF2ACB">
        <w:t>Готовые документы прошу выдать мне/представителю (при наличии доверенности):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лично,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в электронной форме (посредством направления в личный кабинет </w:t>
      </w:r>
      <w:proofErr w:type="spellStart"/>
      <w:proofErr w:type="gramStart"/>
      <w:r w:rsidRPr="00EF2ACB">
        <w:rPr>
          <w:lang w:eastAsia="en-US"/>
        </w:rPr>
        <w:t>интернет-портала</w:t>
      </w:r>
      <w:proofErr w:type="spellEnd"/>
      <w:proofErr w:type="gramEnd"/>
      <w:r w:rsidRPr="00EF2ACB">
        <w:rPr>
          <w:lang w:eastAsia="en-US"/>
        </w:rPr>
        <w:t xml:space="preserve"> </w:t>
      </w:r>
      <w:hyperlink r:id="rId2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:rsidR="00EF2ACB" w:rsidRPr="00EF2ACB" w:rsidRDefault="00EF2ACB" w:rsidP="00EF2ACB">
      <w:pPr>
        <w:ind w:firstLine="708"/>
        <w:jc w:val="both"/>
      </w:pPr>
      <w:r w:rsidRPr="00EF2ACB">
        <w:t xml:space="preserve"> (нужное подчеркнуть).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EF2ACB">
        <w:rPr>
          <w:lang w:eastAsia="en-US"/>
        </w:rPr>
        <w:t>интернет-портала</w:t>
      </w:r>
      <w:proofErr w:type="spellEnd"/>
      <w:r w:rsidRPr="00EF2ACB">
        <w:rPr>
          <w:lang w:eastAsia="en-US"/>
        </w:rPr>
        <w:t xml:space="preserve"> </w:t>
      </w:r>
      <w:hyperlink r:id="rId2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EF2ACB" w:rsidRDefault="00EF2ACB" w:rsidP="00EF2ACB">
      <w:pPr>
        <w:ind w:left="708"/>
        <w:jc w:val="both"/>
      </w:pPr>
      <w:r w:rsidRPr="00EF2ACB">
        <w:lastRenderedPageBreak/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:rsidR="00EF2ACB" w:rsidRPr="00EF2ACB" w:rsidRDefault="00EF2ACB" w:rsidP="00EF2ACB">
      <w:pPr>
        <w:jc w:val="both"/>
      </w:pPr>
    </w:p>
    <w:p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:rsidR="00EF2ACB" w:rsidRPr="00EF2ACB" w:rsidRDefault="00EF2ACB" w:rsidP="00EF2ACB">
      <w:pPr>
        <w:ind w:firstLine="708"/>
        <w:jc w:val="both"/>
      </w:pPr>
    </w:p>
    <w:p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proofErr w:type="spellStart"/>
      <w:r w:rsidRPr="00EF2ACB">
        <w:rPr>
          <w:lang w:eastAsia="en-US"/>
        </w:rPr>
        <w:t>интернет-портале</w:t>
      </w:r>
      <w:proofErr w:type="spellEnd"/>
      <w:r w:rsidRPr="00EF2ACB">
        <w:rPr>
          <w:lang w:eastAsia="en-US"/>
        </w:rPr>
        <w:t xml:space="preserve"> </w:t>
      </w:r>
      <w:hyperlink r:id="rId29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:rsidR="001C25DE" w:rsidRPr="00D67B67" w:rsidRDefault="001C25DE" w:rsidP="001C25DE"/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93533" w:rsidRDefault="00793533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93533" w:rsidRDefault="00793533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93533" w:rsidRDefault="00793533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793533" w:rsidRDefault="00793533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FC789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188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88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FC789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88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FC789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88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FC789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188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50451B">
          <w:headerReference w:type="even" r:id="rId30"/>
          <w:headerReference w:type="default" r:id="rId31"/>
          <w:pgSz w:w="12240" w:h="15840" w:code="1"/>
          <w:pgMar w:top="993" w:right="567" w:bottom="1021" w:left="1701" w:header="284" w:footer="284" w:gutter="0"/>
          <w:pgNumType w:start="1"/>
          <w:cols w:space="720"/>
          <w:noEndnote/>
          <w:docGrid w:linePitch="299"/>
        </w:sectPr>
      </w:pPr>
    </w:p>
    <w:p w:rsidR="007C7D7D" w:rsidRDefault="008D4CCC" w:rsidP="0079353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2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---------------------------------------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3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E9" w:rsidRDefault="00A01DE9">
      <w:r>
        <w:separator/>
      </w:r>
    </w:p>
  </w:endnote>
  <w:endnote w:type="continuationSeparator" w:id="0">
    <w:p w:rsidR="00A01DE9" w:rsidRDefault="00A0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Default="002C1FA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Default="002C1FA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Default="002C1F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E9" w:rsidRDefault="00A01DE9">
      <w:r>
        <w:separator/>
      </w:r>
    </w:p>
  </w:footnote>
  <w:footnote w:type="continuationSeparator" w:id="0">
    <w:p w:rsidR="00A01DE9" w:rsidRDefault="00A0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Default="002C1FA1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2C1FA1" w:rsidRDefault="002C1FA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Pr="00C73F7A" w:rsidRDefault="002C1FA1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7C2E9C">
      <w:rPr>
        <w:noProof/>
        <w:sz w:val="20"/>
        <w:szCs w:val="20"/>
      </w:rPr>
      <w:t>25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Default="002C1FA1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Pr="00690EB2" w:rsidRDefault="002C1FA1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1" w:rsidRPr="00547706" w:rsidRDefault="002C1FA1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95336"/>
    <w:rsid w:val="002A712A"/>
    <w:rsid w:val="002B7324"/>
    <w:rsid w:val="002C1002"/>
    <w:rsid w:val="002C1FA1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2A7F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0451B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500F"/>
    <w:rsid w:val="0078668C"/>
    <w:rsid w:val="00787203"/>
    <w:rsid w:val="0079353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2E9C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3410"/>
    <w:rsid w:val="00984FC3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1DE9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2539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895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No Spacing"/>
    <w:uiPriority w:val="1"/>
    <w:qFormat/>
    <w:rsid w:val="005045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header" Target="header3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8uDrB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base.garant.ru/12138291/3/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EE04-B4F8-4A15-92B7-C6387CB6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11081</Words>
  <Characters>63167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9</cp:revision>
  <cp:lastPrinted>2017-04-11T10:37:00Z</cp:lastPrinted>
  <dcterms:created xsi:type="dcterms:W3CDTF">2017-04-13T07:15:00Z</dcterms:created>
  <dcterms:modified xsi:type="dcterms:W3CDTF">2018-09-03T08:31:00Z</dcterms:modified>
</cp:coreProperties>
</file>